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F246B" w14:textId="24C6BD19" w:rsidR="004654E8" w:rsidRPr="001A369C" w:rsidRDefault="00F431AE" w:rsidP="001A369C">
      <w:pPr>
        <w:spacing w:before="100" w:beforeAutospacing="1" w:after="100" w:afterAutospacing="1" w:line="240" w:lineRule="auto"/>
        <w:jc w:val="center"/>
        <w:outlineLvl w:val="0"/>
        <w:rPr>
          <w:rFonts w:ascii="Calibri" w:eastAsia="Times New Roman" w:hAnsi="Calibri" w:cs="Calibri"/>
          <w:b/>
          <w:bCs/>
          <w:kern w:val="36"/>
          <w:sz w:val="44"/>
          <w:szCs w:val="44"/>
          <w:lang w:eastAsia="de-DE"/>
          <w14:ligatures w14:val="none"/>
        </w:rPr>
      </w:pPr>
      <w:r w:rsidRPr="00B61751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  <w14:ligatures w14:val="none"/>
        </w:rPr>
        <w:t>Exposé</w:t>
      </w:r>
      <w:r w:rsidR="001A369C" w:rsidRPr="00B61751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  <w14:ligatures w14:val="none"/>
        </w:rPr>
        <w:t xml:space="preserve"> </w:t>
      </w:r>
      <w:r w:rsidR="001A369C" w:rsidRPr="001A369C">
        <w:rPr>
          <w:rFonts w:ascii="Calibri" w:eastAsia="Times New Roman" w:hAnsi="Calibri" w:cs="Calibri"/>
          <w:b/>
          <w:bCs/>
          <w:kern w:val="36"/>
          <w:sz w:val="32"/>
          <w:szCs w:val="32"/>
          <w:lang w:eastAsia="de-DE"/>
          <w14:ligatures w14:val="none"/>
        </w:rPr>
        <w:t>-</w:t>
      </w:r>
      <w:r w:rsidR="001A369C">
        <w:rPr>
          <w:rFonts w:ascii="Calibri" w:eastAsia="Times New Roman" w:hAnsi="Calibri" w:cs="Calibri"/>
          <w:b/>
          <w:bCs/>
          <w:kern w:val="36"/>
          <w:sz w:val="44"/>
          <w:szCs w:val="44"/>
          <w:lang w:eastAsia="de-DE"/>
          <w14:ligatures w14:val="none"/>
        </w:rPr>
        <w:t xml:space="preserve"> </w:t>
      </w:r>
      <w:r w:rsidRPr="00B61751">
        <w:rPr>
          <w:rFonts w:ascii="Arial" w:eastAsia="Times New Roman" w:hAnsi="Arial" w:cs="Arial"/>
          <w:b/>
          <w:bCs/>
          <w:kern w:val="0"/>
          <w:sz w:val="21"/>
          <w:szCs w:val="21"/>
          <w:lang w:eastAsia="de-DE"/>
          <w14:ligatures w14:val="none"/>
        </w:rPr>
        <w:t>Markenlizenz „Fröhliches Wasser“</w:t>
      </w:r>
      <w:r w:rsidR="001A369C" w:rsidRPr="00B61751">
        <w:rPr>
          <w:rFonts w:ascii="Arial" w:eastAsia="Times New Roman" w:hAnsi="Arial" w:cs="Arial"/>
          <w:b/>
          <w:bCs/>
          <w:kern w:val="36"/>
          <w:sz w:val="21"/>
          <w:szCs w:val="21"/>
          <w:lang w:eastAsia="de-DE"/>
          <w14:ligatures w14:val="none"/>
        </w:rPr>
        <w:t xml:space="preserve"> </w:t>
      </w:r>
      <w:r w:rsidRPr="00B61751">
        <w:rPr>
          <w:rFonts w:ascii="Arial" w:eastAsia="Times New Roman" w:hAnsi="Arial" w:cs="Arial"/>
          <w:kern w:val="0"/>
          <w:sz w:val="21"/>
          <w:szCs w:val="21"/>
          <w:lang w:eastAsia="de-DE"/>
          <w14:ligatures w14:val="none"/>
        </w:rPr>
        <w:t>Reg.-Nr. 30 2025 220 98</w:t>
      </w:r>
      <w:r w:rsidR="00DC1CCB" w:rsidRPr="00B61751">
        <w:rPr>
          <w:rFonts w:ascii="Arial" w:eastAsia="Times New Roman" w:hAnsi="Arial" w:cs="Arial"/>
          <w:kern w:val="0"/>
          <w:sz w:val="21"/>
          <w:szCs w:val="21"/>
          <w:lang w:eastAsia="de-DE"/>
          <w14:ligatures w14:val="none"/>
        </w:rPr>
        <w:t>4</w:t>
      </w:r>
    </w:p>
    <w:p w14:paraId="51097890" w14:textId="77777777" w:rsidR="00F431AE" w:rsidRPr="00F431AE" w:rsidRDefault="00F730C0" w:rsidP="001B083A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de-DE"/>
          <w14:ligatures w14:val="none"/>
        </w:rPr>
      </w:pPr>
      <w:r>
        <w:pict w14:anchorId="05452EBF">
          <v:rect id="Horizontal Line 1" o:spid="_x0000_s1026" alt="" style="width:453.6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59E2DD1" w14:textId="394AAE9B" w:rsidR="00624713" w:rsidRPr="00B61751" w:rsidRDefault="003A14B3" w:rsidP="001B083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B61751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 xml:space="preserve">1. </w:t>
      </w:r>
      <w:r w:rsidR="00F431AE" w:rsidRPr="00B61751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Executive Summary</w:t>
      </w:r>
    </w:p>
    <w:p w14:paraId="1F152AF4" w14:textId="3003AFCF" w:rsidR="0072784E" w:rsidRPr="00E6094C" w:rsidRDefault="00DA2CEC" w:rsidP="00533A8A">
      <w:pPr>
        <w:pStyle w:val="p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72784E" w:rsidRPr="0072784E">
        <w:rPr>
          <w:rFonts w:ascii="Arial" w:hAnsi="Arial" w:cs="Arial"/>
          <w:sz w:val="22"/>
          <w:szCs w:val="22"/>
        </w:rPr>
        <w:t>Fröhliches Wasser“ ist eine eingetragene Wortmarke mit eigenständiger sprachlicher Wirkung und dem Potenzial, den Mineralwassermarkt um eine positiv besetzte Markenoption zu erweitern.</w:t>
      </w:r>
    </w:p>
    <w:p w14:paraId="7578FE01" w14:textId="386821FC" w:rsidR="00F431AE" w:rsidRPr="00E6094C" w:rsidRDefault="00F431AE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Der </w:t>
      </w:r>
      <w:r w:rsidR="0084324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deutsche Mineralwasserm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arkt ist stark funktional geprägt. Kommunikation und Positionierung konzentrieren sich überwiegend auf Herkunft, Reinheit, Mineralisierung und Tradition. Emotional eigenständige Produktbezeichnungen sind innerhalb der Kategorie vergleichsweise selten.</w:t>
      </w:r>
    </w:p>
    <w:p w14:paraId="3DB563CD" w14:textId="77777777" w:rsidR="00F431AE" w:rsidRPr="00E6094C" w:rsidRDefault="00F431AE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</w:p>
    <w:p w14:paraId="72C2777A" w14:textId="70745A75" w:rsidR="00F431AE" w:rsidRPr="00E6094C" w:rsidRDefault="00F431AE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„Fröhliches Wasser“ setzt genau </w:t>
      </w:r>
      <w:r w:rsidR="0084324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an dieser Stell</w:t>
      </w:r>
      <w:r w:rsidR="009B691B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e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 an:</w:t>
      </w:r>
    </w:p>
    <w:p w14:paraId="296E7284" w14:textId="25C080EE" w:rsidR="00F431AE" w:rsidRPr="00E6094C" w:rsidRDefault="00F431AE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Der </w:t>
      </w:r>
      <w:r w:rsidR="0084324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Markenn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ame transportiert </w:t>
      </w:r>
      <w:r w:rsidR="0084324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bereits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auf Wortebene eine positive, lebendige Qualität – klar verständlich, unmittelbar zugänglich und zugleich markenfähig.</w:t>
      </w:r>
    </w:p>
    <w:p w14:paraId="1F2B86E0" w14:textId="77777777" w:rsidR="006C2D78" w:rsidRPr="00E6094C" w:rsidRDefault="006C2D78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</w:p>
    <w:p w14:paraId="6E0EC84A" w14:textId="281845B5" w:rsidR="006C2D78" w:rsidRPr="00E6094C" w:rsidRDefault="006C2D78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Daraus kann sich die Möglichkeit ergeben, bestehende Portfolios um eine eigenständig profilierte Markenoption zu ergänzen und eine zusätzliche Differenzierung im Regal zu erreich</w:t>
      </w:r>
      <w:r w:rsidR="005C29AF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en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. </w:t>
      </w:r>
    </w:p>
    <w:p w14:paraId="0D2BFAB6" w14:textId="5E70CF5F" w:rsidR="00F431AE" w:rsidRPr="00E6094C" w:rsidRDefault="00F431AE" w:rsidP="001B083A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</w:p>
    <w:p w14:paraId="58B59CB9" w14:textId="6A65A2DD" w:rsidR="00533A8A" w:rsidRDefault="00533A8A" w:rsidP="00533A8A">
      <w:pPr>
        <w:spacing w:after="0" w:line="240" w:lineRule="auto"/>
        <w:rPr>
          <w:rFonts w:ascii="Arial" w:eastAsia="Times New Roman" w:hAnsi="Arial" w:cs="Arial"/>
          <w:color w:val="0E0E0E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E0E0E"/>
          <w:kern w:val="0"/>
          <w:sz w:val="22"/>
          <w:szCs w:val="22"/>
          <w:lang w:eastAsia="de-DE"/>
          <w14:ligatures w14:val="none"/>
        </w:rPr>
        <w:t xml:space="preserve">Die Marke ist kompatibel mit bestehenden Produktions-, Portfolio- und Vertriebsstrukturen und lässt sich ohne strukturelle Anpassungen integrieren. </w:t>
      </w:r>
    </w:p>
    <w:p w14:paraId="42255751" w14:textId="77777777" w:rsidR="00347689" w:rsidRDefault="00347689" w:rsidP="00533A8A">
      <w:pPr>
        <w:spacing w:after="0" w:line="240" w:lineRule="auto"/>
        <w:rPr>
          <w:rFonts w:ascii="Arial" w:eastAsia="Times New Roman" w:hAnsi="Arial" w:cs="Arial"/>
          <w:color w:val="0E0E0E"/>
          <w:kern w:val="0"/>
          <w:sz w:val="22"/>
          <w:szCs w:val="22"/>
          <w:lang w:eastAsia="de-DE"/>
          <w14:ligatures w14:val="none"/>
        </w:rPr>
      </w:pPr>
    </w:p>
    <w:p w14:paraId="1A082A17" w14:textId="464383C8" w:rsidR="00E6094C" w:rsidRPr="00E6094C" w:rsidRDefault="00F730C0" w:rsidP="00533A8A">
      <w:pPr>
        <w:spacing w:after="0" w:line="240" w:lineRule="auto"/>
        <w:rPr>
          <w:rFonts w:ascii="Arial" w:eastAsia="Times New Roman" w:hAnsi="Arial" w:cs="Arial"/>
          <w:color w:val="0E0E0E"/>
          <w:kern w:val="0"/>
          <w:sz w:val="22"/>
          <w:szCs w:val="22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4214C3C3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186573A8" w14:textId="4941B087" w:rsidR="00322DC7" w:rsidRPr="00B61751" w:rsidRDefault="00F431AE" w:rsidP="001B083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B61751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2. Markenidee &amp; Ursprung</w:t>
      </w:r>
    </w:p>
    <w:p w14:paraId="691B0F3F" w14:textId="25EAF8F9" w:rsidR="00C53799" w:rsidRPr="00E6094C" w:rsidRDefault="00C53799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  <w:r w:rsidRPr="00E6094C">
        <w:rPr>
          <w:rFonts w:ascii="Arial" w:hAnsi="Arial" w:cs="Arial"/>
          <w:color w:val="000000"/>
          <w:sz w:val="22"/>
          <w:szCs w:val="22"/>
        </w:rPr>
        <w:t xml:space="preserve">Die Idee zur Marke entstand im Mai 2025 während einer Weitwanderung auf dem König-Ludwig-Weg relativ unspektakulär in einem Traum. </w:t>
      </w:r>
    </w:p>
    <w:p w14:paraId="4E24CD3C" w14:textId="77777777" w:rsidR="00C53799" w:rsidRPr="00E6094C" w:rsidRDefault="00C53799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  <w:r w:rsidRPr="00E6094C">
        <w:rPr>
          <w:rFonts w:ascii="Arial" w:hAnsi="Arial" w:cs="Arial"/>
          <w:color w:val="000000"/>
          <w:sz w:val="22"/>
          <w:szCs w:val="22"/>
        </w:rPr>
        <w:t>Der Begriff „Fröhliches Wasser“ erschien dabei erstmals als unmittelbar stimmige und ungewöhnlich einprägsame Bezeichnung für Mineralwasser.</w:t>
      </w:r>
    </w:p>
    <w:p w14:paraId="74E25F78" w14:textId="77777777" w:rsidR="00C53799" w:rsidRPr="00E6094C" w:rsidRDefault="00C53799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  <w:r w:rsidRPr="00E6094C">
        <w:rPr>
          <w:rFonts w:ascii="Arial" w:hAnsi="Arial" w:cs="Arial"/>
          <w:color w:val="000000"/>
          <w:sz w:val="22"/>
          <w:szCs w:val="22"/>
        </w:rPr>
        <w:t>Entscheidend war die anschließende Erkenntnis, dass ein emotional positiv besetzter Begriff dieser Art im bestehenden Marktumfeld bislang praktisch nicht verwendet wird.</w:t>
      </w:r>
    </w:p>
    <w:p w14:paraId="5466A762" w14:textId="15C49C22" w:rsidR="00C53799" w:rsidRDefault="00C53799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  <w:r w:rsidRPr="00E6094C">
        <w:rPr>
          <w:rFonts w:ascii="Arial" w:hAnsi="Arial" w:cs="Arial"/>
          <w:color w:val="000000"/>
          <w:sz w:val="22"/>
          <w:szCs w:val="22"/>
        </w:rPr>
        <w:t>Der Gedanke hierbei war „Warum existiert dieser Begriff nicht bereits im Mineralwassermarkt?“</w:t>
      </w:r>
    </w:p>
    <w:p w14:paraId="5AEE2A55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54170A35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0763F5F2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23DDB229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60FCC27E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2C9CC861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011FEAD7" w14:textId="77777777" w:rsid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2F0FE8D1" w14:textId="77777777" w:rsidR="00E6094C" w:rsidRPr="00E6094C" w:rsidRDefault="00E6094C" w:rsidP="00C53799">
      <w:pPr>
        <w:pStyle w:val="StandardWeb"/>
        <w:rPr>
          <w:rFonts w:ascii="Arial" w:hAnsi="Arial" w:cs="Arial"/>
          <w:color w:val="000000"/>
          <w:sz w:val="22"/>
          <w:szCs w:val="22"/>
        </w:rPr>
      </w:pPr>
    </w:p>
    <w:p w14:paraId="0A80485D" w14:textId="4F3FD269" w:rsidR="00F431AE" w:rsidRPr="00B61751" w:rsidRDefault="00F431AE" w:rsidP="00756110">
      <w:pPr>
        <w:pStyle w:val="p1"/>
        <w:rPr>
          <w:rFonts w:ascii="Arial" w:hAnsi="Arial" w:cs="Arial"/>
        </w:rPr>
      </w:pPr>
      <w:r w:rsidRPr="00B61751">
        <w:rPr>
          <w:rFonts w:ascii="Arial" w:hAnsi="Arial" w:cs="Arial"/>
          <w:b/>
          <w:bCs/>
          <w:sz w:val="28"/>
          <w:szCs w:val="28"/>
        </w:rPr>
        <w:t>3. Positionierung</w:t>
      </w:r>
    </w:p>
    <w:p w14:paraId="43497C73" w14:textId="0BA63D51" w:rsidR="00533A8A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„Fröhliches Wasser“ ist als breit anschlussfähige, eigenständige Marke </w:t>
      </w:r>
      <w:r w:rsidR="00B25BFC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mit überregionaler Einsatzmöglichkeit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konzipiert.</w:t>
      </w:r>
    </w:p>
    <w:p w14:paraId="0ABD242C" w14:textId="5AD79C0F" w:rsidR="00F431AE" w:rsidRPr="00E6094C" w:rsidRDefault="00B25BFC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Marke</w:t>
      </w:r>
      <w:r w:rsidR="00F431A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 richtet sich generationenübergreifend an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qualitätsbewusste </w:t>
      </w:r>
      <w:r w:rsidR="00F431AE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Konsumentinnen und Konsumenten, die neben funktionalen Eigenschaften auch eine klare, positive Markenidentität schätzen.</w:t>
      </w:r>
    </w:p>
    <w:p w14:paraId="783394F6" w14:textId="77777777" w:rsidR="006C2D78" w:rsidRPr="00E6094C" w:rsidRDefault="006C2D78" w:rsidP="006C2D7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Sie ist bewusst nicht regional oder zielgruppenspezifisch eingegrenzt und kann sowohl als eigenständige Zweitmarke als auch als ergänzende Markenoption innerhalb bestehender Portfolios geführt werden.</w:t>
      </w:r>
    </w:p>
    <w:p w14:paraId="3982AE04" w14:textId="106374BE" w:rsidR="00B61751" w:rsidRDefault="00F431AE" w:rsidP="00E6094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Sorten</w:t>
      </w:r>
      <w:r w:rsidR="00B25BFC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architektur</w:t>
      </w:r>
      <w:r w:rsidR="005315E1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entspricht </w:t>
      </w:r>
      <w:r w:rsidR="00B25BFC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vollständig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den etablierten </w:t>
      </w:r>
      <w:r w:rsidR="00316235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Marktstandards und ermöglicht eine reibungslose </w:t>
      </w:r>
      <w:r w:rsidR="005C29AF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Integration in bestehende P</w:t>
      </w:r>
      <w:r w:rsidR="005C6F1B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ortfolios</w:t>
      </w:r>
      <w:r w:rsidR="005C29AF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.</w:t>
      </w:r>
    </w:p>
    <w:p w14:paraId="2170BEBE" w14:textId="7D524933" w:rsidR="00E6094C" w:rsidRPr="00E6094C" w:rsidRDefault="00F730C0" w:rsidP="00E6094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5704C07E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4F390E4C" w14:textId="17A1E95F" w:rsidR="00316235" w:rsidRPr="00311E8B" w:rsidRDefault="00316235" w:rsidP="001B083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311E8B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4. Wettbewerbsdifferenzierung</w:t>
      </w:r>
    </w:p>
    <w:p w14:paraId="5AE6649B" w14:textId="00F5DB54" w:rsidR="00316235" w:rsidRPr="00E6094C" w:rsidRDefault="00316235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Der Mineralwassermarkt wird von etablierten Marken mit starker Herkunfts- und Qualitätskommunikation geprägt.</w:t>
      </w:r>
      <w:r w:rsidR="00533A8A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 </w:t>
      </w: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Differenzierung erfolgt überwiegend über Quelle, Mineralisierung und Regionalität.</w:t>
      </w:r>
    </w:p>
    <w:p w14:paraId="32E5693C" w14:textId="3EC0413A" w:rsidR="006C2D78" w:rsidRPr="00E6094C" w:rsidRDefault="00316235" w:rsidP="006C2D7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„Fröhliches Wasser“ unterscheidet sich auf sprachlicher Ebene grundlegend. Die Differenzierung erfolgt primär über die Namensgebung und die damit verbundene positive Marktwahrnehmung. </w:t>
      </w:r>
    </w:p>
    <w:p w14:paraId="62C20BF1" w14:textId="77777777" w:rsidR="00C53799" w:rsidRPr="00C53799" w:rsidRDefault="00F730C0" w:rsidP="00C53799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5A029FD5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49510C91" w14:textId="77777777" w:rsidR="00C53799" w:rsidRPr="00311E8B" w:rsidRDefault="00C53799" w:rsidP="00C5379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</w:pPr>
      <w:r w:rsidRPr="00311E8B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de-DE"/>
          <w14:ligatures w14:val="none"/>
        </w:rPr>
        <w:t>4a. Wahrnehmung am Point of Sale</w:t>
      </w:r>
    </w:p>
    <w:p w14:paraId="455C05B8" w14:textId="77777777" w:rsidR="00C53799" w:rsidRPr="00E6094C" w:rsidRDefault="00C53799" w:rsidP="00C53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Im direkten Wettbewerbsumfeld wirken viele Mineralwassermarken sachlich, technisch oder traditionell geprägt.</w:t>
      </w:r>
    </w:p>
    <w:p w14:paraId="76544506" w14:textId="77777777" w:rsidR="00C53799" w:rsidRPr="00E6094C" w:rsidRDefault="00C53799" w:rsidP="00C53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„Fröhliches Wasser“ fällt dagegen bereits über den Namen aus dem üblichen Sprachmuster der Kategorie heraus.</w:t>
      </w:r>
    </w:p>
    <w:p w14:paraId="62F2AE4C" w14:textId="7AAD5301" w:rsidR="00987AF1" w:rsidRPr="00987AF1" w:rsidRDefault="00987AF1" w:rsidP="00987AF1">
      <w:pPr>
        <w:pStyle w:val="p1"/>
        <w:rPr>
          <w:rFonts w:ascii="Arial" w:hAnsi="Arial" w:cs="Arial"/>
          <w:sz w:val="22"/>
          <w:szCs w:val="22"/>
        </w:rPr>
      </w:pPr>
      <w:r w:rsidRPr="00987AF1">
        <w:rPr>
          <w:rFonts w:ascii="Arial" w:hAnsi="Arial" w:cs="Arial"/>
          <w:sz w:val="22"/>
          <w:szCs w:val="22"/>
        </w:rPr>
        <w:t>„Fröhliches Wasser“ wirkt dabei fast wie ein ruhiger, vertrauter Begriff, den man im Sprachgebrauch verloren hatte — obwohl er sofort verständlich erscheint.</w:t>
      </w:r>
    </w:p>
    <w:p w14:paraId="19E8E793" w14:textId="028C7F0C" w:rsidR="00C53799" w:rsidRPr="00E6094C" w:rsidRDefault="00C53799" w:rsidP="00C53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Die Marke besitzt dadurch das Potenzial, bereits beim ersten Blickkontakt Aufmerksamkeit und emotionale Zugänglichkeit zu erzeugen — ohne auf laute Gestaltung oder erklärungsbedürftige Kommunikation angewiesen zu sein.</w:t>
      </w:r>
    </w:p>
    <w:p w14:paraId="1708B790" w14:textId="77777777" w:rsidR="00C53799" w:rsidRPr="00E6094C" w:rsidRDefault="00C53799" w:rsidP="00C53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Gerade im stark standardisierten Mineralwasserregal kann daraus eine eigenständige Wiedererkennbarkeit entstehen.</w:t>
      </w:r>
    </w:p>
    <w:p w14:paraId="317E8946" w14:textId="77777777" w:rsidR="006C2D78" w:rsidRDefault="006C2D78" w:rsidP="001B083A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8"/>
          <w:szCs w:val="28"/>
          <w:lang w:eastAsia="de-DE"/>
          <w14:ligatures w14:val="none"/>
        </w:rPr>
      </w:pPr>
    </w:p>
    <w:p w14:paraId="6639E8E9" w14:textId="77777777" w:rsidR="006C2D78" w:rsidRDefault="006C2D78" w:rsidP="001B083A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8"/>
          <w:szCs w:val="28"/>
          <w:lang w:eastAsia="de-DE"/>
          <w14:ligatures w14:val="none"/>
        </w:rPr>
      </w:pPr>
    </w:p>
    <w:p w14:paraId="13815A76" w14:textId="77777777" w:rsidR="00B61751" w:rsidRDefault="00B61751" w:rsidP="0076341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</w:p>
    <w:p w14:paraId="57ED42AF" w14:textId="145ECA3E" w:rsidR="00763414" w:rsidRPr="00311E8B" w:rsidRDefault="00316235" w:rsidP="0076341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311E8B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5. Visualisierung &amp; Systemfähigkeit</w:t>
      </w:r>
    </w:p>
    <w:p w14:paraId="3E8AE13A" w14:textId="20FE541B" w:rsidR="00B531FE" w:rsidRPr="00E6094C" w:rsidRDefault="00316235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Gestaltungsbeispiele dienen als konzeptionelle Illustration einer möglichen Umsetzung.</w:t>
      </w:r>
    </w:p>
    <w:p w14:paraId="214CCBD8" w14:textId="77777777" w:rsidR="006C2D78" w:rsidRPr="00354442" w:rsidRDefault="006C2D78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</w:p>
    <w:p w14:paraId="56C3D882" w14:textId="79884243" w:rsidR="00632146" w:rsidRPr="00354442" w:rsidRDefault="00316235" w:rsidP="001B083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kern w:val="0"/>
          <w:sz w:val="28"/>
          <w:szCs w:val="28"/>
          <w:lang w:eastAsia="de-DE"/>
          <w14:ligatures w14:val="none"/>
        </w:rPr>
      </w:pPr>
      <w:r w:rsidRPr="00354442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Produktlinie (Einzelflaschen)</w:t>
      </w:r>
    </w:p>
    <w:p w14:paraId="19160DFF" w14:textId="77777777" w:rsidR="00632146" w:rsidRPr="001B083A" w:rsidRDefault="00F431AE" w:rsidP="001B083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2"/>
          <w:szCs w:val="22"/>
          <w:lang w:eastAsia="de-DE"/>
          <w14:ligatures w14:val="none"/>
        </w:rPr>
      </w:pPr>
      <w:r w:rsidRPr="001B083A">
        <w:rPr>
          <w:rFonts w:ascii="Calibri" w:eastAsia="Times New Roman" w:hAnsi="Calibri" w:cs="Calibri"/>
          <w:i/>
          <w:iCs/>
          <w:noProof/>
          <w:kern w:val="0"/>
          <w:sz w:val="22"/>
          <w:szCs w:val="22"/>
          <w:lang w:eastAsia="de-DE"/>
        </w:rPr>
        <w:drawing>
          <wp:inline distT="0" distB="0" distL="0" distR="0" wp14:anchorId="2AB864B0" wp14:editId="5D765799">
            <wp:extent cx="5252241" cy="3501487"/>
            <wp:effectExtent l="0" t="0" r="5715" b="3810"/>
            <wp:docPr id="895010226" name="Grafik 2" descr="Ein Bild, das Essen, Getränk, Wasser trinken, Flasc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10226" name="Grafik 2" descr="Ein Bild, das Essen, Getränk, Wasser trinken, Flasche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5" cy="39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FCB7" w14:textId="77777777" w:rsidR="006C2D78" w:rsidRDefault="006C2D78" w:rsidP="001B083A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</w:p>
    <w:p w14:paraId="6A13A0C6" w14:textId="1A34E8A0" w:rsidR="00F431AE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Visualisierung zeigt:</w:t>
      </w:r>
    </w:p>
    <w:p w14:paraId="0E0BC34B" w14:textId="77777777" w:rsidR="00F431AE" w:rsidRPr="00E6094C" w:rsidRDefault="00F431AE" w:rsidP="001B083A">
      <w:pPr>
        <w:pStyle w:val="Listenabsatz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klare Typografie</w:t>
      </w:r>
    </w:p>
    <w:p w14:paraId="744FD548" w14:textId="77777777" w:rsidR="00F431AE" w:rsidRPr="00E6094C" w:rsidRDefault="00F431AE" w:rsidP="001B083A">
      <w:pPr>
        <w:pStyle w:val="Listenabsatz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reduzierte Gestaltung</w:t>
      </w:r>
    </w:p>
    <w:p w14:paraId="35B61E79" w14:textId="77777777" w:rsidR="00F431AE" w:rsidRPr="00E6094C" w:rsidRDefault="00F431AE" w:rsidP="001B083A">
      <w:pPr>
        <w:pStyle w:val="Listenabsatz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systematische Sortenabstufung</w:t>
      </w:r>
    </w:p>
    <w:p w14:paraId="149B478C" w14:textId="3D2BC9EC" w:rsidR="00B531FE" w:rsidRPr="00E6094C" w:rsidRDefault="00F431AE" w:rsidP="00354442">
      <w:pPr>
        <w:pStyle w:val="Listenabsatz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ruhige, handelstaugliche Erscheinung</w:t>
      </w:r>
    </w:p>
    <w:p w14:paraId="7B57C2C6" w14:textId="77777777" w:rsidR="00354442" w:rsidRPr="00E6094C" w:rsidRDefault="00354442" w:rsidP="00354442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</w:p>
    <w:p w14:paraId="6F926AA8" w14:textId="246C50D4" w:rsidR="00354442" w:rsidRPr="00E6094C" w:rsidRDefault="00354442" w:rsidP="00354442">
      <w:pPr>
        <w:pStyle w:val="p1"/>
        <w:rPr>
          <w:rFonts w:ascii="Arial" w:hAnsi="Arial" w:cs="Arial"/>
          <w:sz w:val="22"/>
          <w:szCs w:val="22"/>
        </w:rPr>
      </w:pPr>
      <w:r w:rsidRPr="00E6094C">
        <w:rPr>
          <w:rFonts w:ascii="Arial" w:hAnsi="Arial" w:cs="Arial"/>
          <w:sz w:val="22"/>
          <w:szCs w:val="22"/>
        </w:rPr>
        <w:t>Die Gestaltung</w:t>
      </w:r>
      <w:r w:rsidR="00A4346C">
        <w:rPr>
          <w:rFonts w:ascii="Arial" w:hAnsi="Arial" w:cs="Arial"/>
          <w:sz w:val="22"/>
          <w:szCs w:val="22"/>
        </w:rPr>
        <w:t>en</w:t>
      </w:r>
      <w:r w:rsidRPr="00E6094C">
        <w:rPr>
          <w:rFonts w:ascii="Arial" w:hAnsi="Arial" w:cs="Arial"/>
          <w:sz w:val="22"/>
          <w:szCs w:val="22"/>
        </w:rPr>
        <w:t xml:space="preserve"> versteh</w:t>
      </w:r>
      <w:r w:rsidR="00347689">
        <w:rPr>
          <w:rFonts w:ascii="Arial" w:hAnsi="Arial" w:cs="Arial"/>
          <w:sz w:val="22"/>
          <w:szCs w:val="22"/>
        </w:rPr>
        <w:t>en</w:t>
      </w:r>
      <w:r w:rsidRPr="00E6094C">
        <w:rPr>
          <w:rFonts w:ascii="Arial" w:hAnsi="Arial" w:cs="Arial"/>
          <w:sz w:val="22"/>
          <w:szCs w:val="22"/>
        </w:rPr>
        <w:t xml:space="preserve"> sich als konzeptioneller Vorschlag.</w:t>
      </w:r>
    </w:p>
    <w:p w14:paraId="376D715D" w14:textId="77777777" w:rsidR="006C2D78" w:rsidRDefault="006C2D78" w:rsidP="006C2D78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</w:pPr>
    </w:p>
    <w:p w14:paraId="50C7089A" w14:textId="77777777" w:rsidR="003C6EA2" w:rsidRDefault="003C6EA2" w:rsidP="001B083A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</w:pPr>
    </w:p>
    <w:p w14:paraId="31291268" w14:textId="77777777" w:rsidR="00763414" w:rsidRPr="00354442" w:rsidRDefault="00763414" w:rsidP="001B083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</w:p>
    <w:p w14:paraId="6D60C942" w14:textId="77777777" w:rsidR="00B61751" w:rsidRDefault="00B61751" w:rsidP="001B083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</w:p>
    <w:p w14:paraId="24999BB8" w14:textId="77777777" w:rsidR="00B61751" w:rsidRDefault="00B61751" w:rsidP="001B083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</w:p>
    <w:p w14:paraId="5B192C92" w14:textId="3515E908" w:rsidR="00F431AE" w:rsidRPr="00354442" w:rsidRDefault="00F431AE" w:rsidP="001B083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354442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Handelsperspektive (Gebinde / Kiste)</w:t>
      </w:r>
    </w:p>
    <w:p w14:paraId="6FCFB155" w14:textId="0CB30BF9" w:rsidR="00F431AE" w:rsidRPr="00F431AE" w:rsidRDefault="00F431AE" w:rsidP="001B083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2"/>
          <w:szCs w:val="22"/>
          <w:lang w:eastAsia="de-DE"/>
          <w14:ligatures w14:val="none"/>
        </w:rPr>
      </w:pPr>
      <w:r w:rsidRPr="001B083A">
        <w:rPr>
          <w:rFonts w:ascii="Calibri" w:eastAsia="Times New Roman" w:hAnsi="Calibri" w:cs="Calibri"/>
          <w:noProof/>
          <w:kern w:val="0"/>
          <w:sz w:val="22"/>
          <w:szCs w:val="22"/>
          <w:lang w:eastAsia="de-DE"/>
        </w:rPr>
        <w:drawing>
          <wp:inline distT="0" distB="0" distL="0" distR="0" wp14:anchorId="4BDF101F" wp14:editId="5A29908B">
            <wp:extent cx="5252564" cy="3501705"/>
            <wp:effectExtent l="0" t="0" r="5715" b="3810"/>
            <wp:docPr id="89789089" name="Grafik 3" descr="Ein Bild, das Zylinder, Plastik, Text, Flasc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9089" name="Grafik 3" descr="Ein Bild, das Zylinder, Plastik, Text, Flasche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11" cy="3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A49F" w14:textId="758FBB0B" w:rsidR="00F431AE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Gebinde-Visualisierung verdeutlicht:</w:t>
      </w:r>
    </w:p>
    <w:p w14:paraId="1F7F66FE" w14:textId="77777777" w:rsidR="00F431AE" w:rsidRPr="00E6094C" w:rsidRDefault="00F431AE" w:rsidP="001B08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Skalierbarkeit</w:t>
      </w:r>
    </w:p>
    <w:p w14:paraId="759EE215" w14:textId="77777777" w:rsidR="00F431AE" w:rsidRPr="00E6094C" w:rsidRDefault="00F431AE" w:rsidP="001B08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Sortenfähigkeit im System</w:t>
      </w:r>
    </w:p>
    <w:p w14:paraId="128AC3E4" w14:textId="77777777" w:rsidR="00A37B74" w:rsidRPr="00E6094C" w:rsidRDefault="00F431AE" w:rsidP="001B08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Integration in bestehende Vertriebs- und Handelsstrukturen</w:t>
      </w:r>
    </w:p>
    <w:p w14:paraId="2886690F" w14:textId="565CEC5A" w:rsidR="00A37B74" w:rsidRPr="00E6094C" w:rsidRDefault="00F431AE" w:rsidP="00A37B7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Sie unterstreicht die wirtschaftliche Anschlussfähigkeit der Marke innerhalb des Lebensmitteleinzelhandels.</w:t>
      </w:r>
    </w:p>
    <w:p w14:paraId="3FE10938" w14:textId="04D686A2" w:rsidR="00E6094C" w:rsidRPr="00B61751" w:rsidRDefault="00F730C0" w:rsidP="00F863FF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1"/>
          <w:szCs w:val="21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099E19DF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49488740" w14:textId="7C60BF40" w:rsidR="00F431AE" w:rsidRPr="00354442" w:rsidRDefault="00F431AE" w:rsidP="001B083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354442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6. Markteintritt &amp; Entwicklungsperspektive</w:t>
      </w:r>
    </w:p>
    <w:p w14:paraId="411544B8" w14:textId="67FA2E9E" w:rsidR="005F3FAC" w:rsidRPr="00E6094C" w:rsidRDefault="00F431AE" w:rsidP="001A369C">
      <w:pPr>
        <w:spacing w:after="100" w:afterAutospacing="1" w:line="240" w:lineRule="auto"/>
        <w:contextualSpacing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Einführung kann schrittweise erfolgen, beispielsweise durch:</w:t>
      </w:r>
    </w:p>
    <w:p w14:paraId="1B28A116" w14:textId="77777777" w:rsidR="00F431AE" w:rsidRPr="00E6094C" w:rsidRDefault="00F431AE" w:rsidP="001A369C">
      <w:pPr>
        <w:numPr>
          <w:ilvl w:val="0"/>
          <w:numId w:val="3"/>
        </w:numPr>
        <w:spacing w:after="100" w:afterAutospacing="1" w:line="240" w:lineRule="auto"/>
        <w:contextualSpacing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regional begrenzte Markttests</w:t>
      </w:r>
    </w:p>
    <w:p w14:paraId="00B87F18" w14:textId="77777777" w:rsidR="00F431AE" w:rsidRPr="00E6094C" w:rsidRDefault="00F431AE" w:rsidP="001A369C">
      <w:pPr>
        <w:numPr>
          <w:ilvl w:val="0"/>
          <w:numId w:val="3"/>
        </w:numPr>
        <w:spacing w:after="100" w:afterAutospacing="1" w:line="240" w:lineRule="auto"/>
        <w:contextualSpacing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gezielte Einführung in ausgewählten Handelssegmenten</w:t>
      </w:r>
    </w:p>
    <w:p w14:paraId="40F074BD" w14:textId="77777777" w:rsidR="00F431AE" w:rsidRPr="00E6094C" w:rsidRDefault="00F431AE" w:rsidP="001A369C">
      <w:pPr>
        <w:numPr>
          <w:ilvl w:val="0"/>
          <w:numId w:val="3"/>
        </w:numPr>
        <w:spacing w:after="100" w:afterAutospacing="1" w:line="240" w:lineRule="auto"/>
        <w:contextualSpacing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sukzessiven Ausbau bei positiver Marktresonanz</w:t>
      </w:r>
    </w:p>
    <w:p w14:paraId="521550B1" w14:textId="77777777" w:rsidR="00A37B74" w:rsidRPr="00E6094C" w:rsidRDefault="00A37B74" w:rsidP="00A37B74">
      <w:pPr>
        <w:spacing w:after="100" w:afterAutospacing="1" w:line="240" w:lineRule="auto"/>
        <w:ind w:left="720"/>
        <w:contextualSpacing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</w:p>
    <w:p w14:paraId="10F892D3" w14:textId="4932D54A" w:rsidR="00A37B74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Marke ist langfristig stabil und skalierbar konzipiert</w:t>
      </w:r>
      <w:r w:rsidR="006C2D78"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 xml:space="preserve"> und ermöglicht eine flexible Entwicklung innerhalb bestehender Strukturen.</w:t>
      </w:r>
    </w:p>
    <w:p w14:paraId="11BF0AB8" w14:textId="77777777" w:rsidR="00B61751" w:rsidRPr="00B61751" w:rsidRDefault="00B61751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1"/>
          <w:szCs w:val="21"/>
          <w:lang w:eastAsia="de-DE"/>
          <w14:ligatures w14:val="none"/>
        </w:rPr>
      </w:pPr>
    </w:p>
    <w:p w14:paraId="4210D87C" w14:textId="77777777" w:rsidR="00E6094C" w:rsidRDefault="00E6094C" w:rsidP="00E82B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3BC44F86" w14:textId="5E0006C7" w:rsidR="00E82B69" w:rsidRPr="00AE3607" w:rsidRDefault="00E82B69" w:rsidP="00E82B6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e-DE"/>
          <w14:ligatures w14:val="none"/>
        </w:rPr>
      </w:pPr>
      <w:r w:rsidRPr="00AE3607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e-DE"/>
          <w14:ligatures w14:val="none"/>
        </w:rPr>
        <w:t>6a. Erweiterungspotenzial der Marke</w:t>
      </w:r>
    </w:p>
    <w:p w14:paraId="752B8CFC" w14:textId="77777777" w:rsidR="00E82B69" w:rsidRPr="00E6094C" w:rsidRDefault="00E82B69" w:rsidP="00E82B6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Zusätzlich zur klassischen Mineralwasserkategorie besitzt „Fröhliches Wasser“ Potenzial für markennahe Erweiterungen innerhalb wachsender Getränkesegmente.</w:t>
      </w:r>
    </w:p>
    <w:p w14:paraId="7EEF076E" w14:textId="5303D280" w:rsidR="008E3CD6" w:rsidRPr="008E3CD6" w:rsidRDefault="008E3CD6" w:rsidP="008E3CD6">
      <w:pPr>
        <w:pStyle w:val="p1"/>
        <w:rPr>
          <w:rFonts w:ascii="Arial" w:hAnsi="Arial" w:cs="Arial"/>
          <w:sz w:val="22"/>
          <w:szCs w:val="22"/>
        </w:rPr>
      </w:pPr>
      <w:r w:rsidRPr="008E3CD6">
        <w:rPr>
          <w:rFonts w:ascii="Arial" w:hAnsi="Arial" w:cs="Arial"/>
          <w:sz w:val="22"/>
          <w:szCs w:val="22"/>
        </w:rPr>
        <w:t>Insbesondere innerhalb moderner Infused-Water- und Near-Water-Kategorien besitzt die Marke eine hohe sprachliche Anschlussfähigkeit.</w:t>
      </w:r>
    </w:p>
    <w:p w14:paraId="1F333943" w14:textId="3A76E9AB" w:rsidR="00E82B69" w:rsidRPr="00E6094C" w:rsidRDefault="00E82B69" w:rsidP="00E82B6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Der Markenname unterstützt dabei eine leichte, natürliche und positive Produktwahrnehmung und eignet sich insbesondere für:</w:t>
      </w:r>
    </w:p>
    <w:p w14:paraId="0B2873A5" w14:textId="77777777" w:rsidR="00E82B69" w:rsidRPr="00E6094C" w:rsidRDefault="00E82B69" w:rsidP="00E82B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kalorienarme Getränkekonzepte</w:t>
      </w:r>
    </w:p>
    <w:p w14:paraId="29E92C2D" w14:textId="77777777" w:rsidR="00E82B69" w:rsidRPr="00E6094C" w:rsidRDefault="00E82B69" w:rsidP="00E82B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natürliche Rezepturen</w:t>
      </w:r>
    </w:p>
    <w:p w14:paraId="71508CC4" w14:textId="77777777" w:rsidR="00E82B69" w:rsidRPr="00E6094C" w:rsidRDefault="00E82B69" w:rsidP="00E82B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moderne „Healthy Lifestyle“-Positionierungen</w:t>
      </w:r>
    </w:p>
    <w:p w14:paraId="3A3533EA" w14:textId="77777777" w:rsidR="00E82B69" w:rsidRPr="00E6094C" w:rsidRDefault="00E82B69" w:rsidP="00E82B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funktionale Near-Water-Kategorien</w:t>
      </w:r>
    </w:p>
    <w:p w14:paraId="26156376" w14:textId="77777777" w:rsidR="00E82B69" w:rsidRPr="00E6094C" w:rsidRDefault="00E82B69" w:rsidP="00E82B6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color w:val="000000"/>
          <w:kern w:val="0"/>
          <w:sz w:val="22"/>
          <w:szCs w:val="22"/>
          <w:lang w:eastAsia="de-DE"/>
          <w14:ligatures w14:val="none"/>
        </w:rPr>
        <w:t>Dadurch kann sich langfristig ein zweites Entwicklungspotenzial neben dem klassischen Mineralwassergeschäft ergeben.</w:t>
      </w:r>
    </w:p>
    <w:p w14:paraId="1FEC29A0" w14:textId="3B8F6B73" w:rsidR="00E82B69" w:rsidRPr="001B083A" w:rsidRDefault="004C24A8" w:rsidP="00F863FF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lang w:eastAsia="de-DE"/>
          <w14:ligatures w14:val="none"/>
        </w:rPr>
      </w:pPr>
      <w:r>
        <w:rPr>
          <w:rFonts w:ascii="Calibri" w:eastAsia="Times New Roman" w:hAnsi="Calibri" w:cs="Calibri"/>
          <w:noProof/>
          <w:kern w:val="0"/>
          <w:lang w:eastAsia="de-DE"/>
        </w:rPr>
        <w:drawing>
          <wp:inline distT="0" distB="0" distL="0" distR="0" wp14:anchorId="0819E75C" wp14:editId="3E9B8552">
            <wp:extent cx="2810934" cy="3979059"/>
            <wp:effectExtent l="0" t="0" r="0" b="0"/>
            <wp:docPr id="15774204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20454" name="Grafik 1577420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44" cy="40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BF18" w14:textId="0E9CC79C" w:rsidR="00F431AE" w:rsidRPr="00AE3607" w:rsidRDefault="00F431AE" w:rsidP="001B083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 w:rsidRPr="00AE3607"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  <w:t>7. Lizenzmodell</w:t>
      </w:r>
    </w:p>
    <w:p w14:paraId="04C0C705" w14:textId="77777777" w:rsidR="00F431AE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Nutzung der Marke „Fröhliches Wasser“ erfolgt im Rahmen eines marktüblichen Lizenzmodells.</w:t>
      </w:r>
    </w:p>
    <w:p w14:paraId="73B6278A" w14:textId="77777777" w:rsidR="00F431AE" w:rsidRPr="00E6094C" w:rsidRDefault="00F431AE" w:rsidP="001B083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</w:pPr>
      <w:r w:rsidRPr="00E6094C">
        <w:rPr>
          <w:rFonts w:ascii="Arial" w:eastAsia="Times New Roman" w:hAnsi="Arial" w:cs="Arial"/>
          <w:kern w:val="0"/>
          <w:sz w:val="22"/>
          <w:szCs w:val="22"/>
          <w:lang w:eastAsia="de-DE"/>
          <w14:ligatures w14:val="none"/>
        </w:rPr>
        <w:t>Die konkrete Ausgestaltung (Lizenzsatz, Laufzeit, Gebietsumfang, Mindestlizenz) erfolgt in gemeinsamer Abstimmung.</w:t>
      </w:r>
    </w:p>
    <w:p w14:paraId="7112809A" w14:textId="77777777" w:rsidR="00F431AE" w:rsidRPr="001B083A" w:rsidRDefault="00F431AE" w:rsidP="001B083A">
      <w:pPr>
        <w:spacing w:line="240" w:lineRule="auto"/>
        <w:rPr>
          <w:rFonts w:ascii="Calibri" w:hAnsi="Calibri" w:cs="Calibri"/>
          <w:sz w:val="22"/>
          <w:szCs w:val="22"/>
        </w:rPr>
      </w:pPr>
    </w:p>
    <w:sectPr w:rsidR="00F431AE" w:rsidRPr="001B083A"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B06A1" w14:textId="77777777" w:rsidR="00F730C0" w:rsidRDefault="00F730C0" w:rsidP="00BA1D10">
      <w:pPr>
        <w:spacing w:after="0" w:line="240" w:lineRule="auto"/>
      </w:pPr>
      <w:r>
        <w:separator/>
      </w:r>
    </w:p>
  </w:endnote>
  <w:endnote w:type="continuationSeparator" w:id="0">
    <w:p w14:paraId="28799B12" w14:textId="77777777" w:rsidR="00F730C0" w:rsidRDefault="00F730C0" w:rsidP="00BA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579098988"/>
      <w:docPartObj>
        <w:docPartGallery w:val="Page Numbers (Bottom of Page)"/>
        <w:docPartUnique/>
      </w:docPartObj>
    </w:sdtPr>
    <w:sdtContent>
      <w:p w14:paraId="1CAA5405" w14:textId="5C0EE6F1" w:rsidR="00BA1D10" w:rsidRDefault="00BA1D10" w:rsidP="00BA1D1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185C014B" w14:textId="77777777" w:rsidR="00BA1D10" w:rsidRDefault="00BA1D10" w:rsidP="00BA1D1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97302060"/>
      <w:docPartObj>
        <w:docPartGallery w:val="Page Numbers (Bottom of Page)"/>
        <w:docPartUnique/>
      </w:docPartObj>
    </w:sdtPr>
    <w:sdtContent>
      <w:p w14:paraId="1B83A209" w14:textId="16777A00" w:rsidR="00BA1D10" w:rsidRDefault="00BA1D10" w:rsidP="00BA1D1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3324B67" w14:textId="77777777" w:rsidR="00BA1D10" w:rsidRDefault="00BA1D10" w:rsidP="00BA1D10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DF512" w14:textId="77777777" w:rsidR="00F730C0" w:rsidRDefault="00F730C0" w:rsidP="00BA1D10">
      <w:pPr>
        <w:spacing w:after="0" w:line="240" w:lineRule="auto"/>
      </w:pPr>
      <w:r>
        <w:separator/>
      </w:r>
    </w:p>
  </w:footnote>
  <w:footnote w:type="continuationSeparator" w:id="0">
    <w:p w14:paraId="4BF52C64" w14:textId="77777777" w:rsidR="00F730C0" w:rsidRDefault="00F730C0" w:rsidP="00BA1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D537D"/>
    <w:multiLevelType w:val="multilevel"/>
    <w:tmpl w:val="763E8E80"/>
    <w:lvl w:ilvl="0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12"/>
        </w:tabs>
        <w:ind w:left="57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872"/>
        </w:tabs>
        <w:ind w:left="787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592"/>
        </w:tabs>
        <w:ind w:left="859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F26BE5"/>
    <w:multiLevelType w:val="multilevel"/>
    <w:tmpl w:val="011C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136D2E"/>
    <w:multiLevelType w:val="multilevel"/>
    <w:tmpl w:val="9390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CF0853"/>
    <w:multiLevelType w:val="hybridMultilevel"/>
    <w:tmpl w:val="A74A6E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16190"/>
    <w:multiLevelType w:val="multilevel"/>
    <w:tmpl w:val="1E38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B07E59"/>
    <w:multiLevelType w:val="hybridMultilevel"/>
    <w:tmpl w:val="67080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920359">
    <w:abstractNumId w:val="0"/>
  </w:num>
  <w:num w:numId="2" w16cid:durableId="608510588">
    <w:abstractNumId w:val="1"/>
  </w:num>
  <w:num w:numId="3" w16cid:durableId="678778489">
    <w:abstractNumId w:val="2"/>
  </w:num>
  <w:num w:numId="4" w16cid:durableId="1791586560">
    <w:abstractNumId w:val="3"/>
  </w:num>
  <w:num w:numId="5" w16cid:durableId="748237439">
    <w:abstractNumId w:val="5"/>
  </w:num>
  <w:num w:numId="6" w16cid:durableId="597907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AE"/>
    <w:rsid w:val="0005592E"/>
    <w:rsid w:val="000A09E2"/>
    <w:rsid w:val="001270C4"/>
    <w:rsid w:val="0019461B"/>
    <w:rsid w:val="001A369C"/>
    <w:rsid w:val="001B083A"/>
    <w:rsid w:val="0020332B"/>
    <w:rsid w:val="0020702A"/>
    <w:rsid w:val="00212EA4"/>
    <w:rsid w:val="00223444"/>
    <w:rsid w:val="00253455"/>
    <w:rsid w:val="002542FC"/>
    <w:rsid w:val="002C4B5D"/>
    <w:rsid w:val="002D29B2"/>
    <w:rsid w:val="002E1503"/>
    <w:rsid w:val="002E1AC1"/>
    <w:rsid w:val="00303B41"/>
    <w:rsid w:val="00311E8B"/>
    <w:rsid w:val="00316235"/>
    <w:rsid w:val="00322DC7"/>
    <w:rsid w:val="00346832"/>
    <w:rsid w:val="00347689"/>
    <w:rsid w:val="00354442"/>
    <w:rsid w:val="003749FC"/>
    <w:rsid w:val="003A14B3"/>
    <w:rsid w:val="003C6EA2"/>
    <w:rsid w:val="00446E99"/>
    <w:rsid w:val="004654E8"/>
    <w:rsid w:val="00490A7D"/>
    <w:rsid w:val="004967B6"/>
    <w:rsid w:val="004C24A8"/>
    <w:rsid w:val="00513D6E"/>
    <w:rsid w:val="005315E1"/>
    <w:rsid w:val="00533A8A"/>
    <w:rsid w:val="005C29AF"/>
    <w:rsid w:val="005C6F1B"/>
    <w:rsid w:val="005D2CA7"/>
    <w:rsid w:val="005F3FAC"/>
    <w:rsid w:val="00624713"/>
    <w:rsid w:val="00632146"/>
    <w:rsid w:val="00652308"/>
    <w:rsid w:val="006C2338"/>
    <w:rsid w:val="006C2D78"/>
    <w:rsid w:val="0072784E"/>
    <w:rsid w:val="00750E1D"/>
    <w:rsid w:val="00756110"/>
    <w:rsid w:val="00763414"/>
    <w:rsid w:val="007D3163"/>
    <w:rsid w:val="0084324E"/>
    <w:rsid w:val="00844CE8"/>
    <w:rsid w:val="00887085"/>
    <w:rsid w:val="008D0C25"/>
    <w:rsid w:val="008D0F5B"/>
    <w:rsid w:val="008D694C"/>
    <w:rsid w:val="008E3CD6"/>
    <w:rsid w:val="00987AF1"/>
    <w:rsid w:val="009B691B"/>
    <w:rsid w:val="009F4F7B"/>
    <w:rsid w:val="00A37B74"/>
    <w:rsid w:val="00A4346C"/>
    <w:rsid w:val="00AC495D"/>
    <w:rsid w:val="00AE3607"/>
    <w:rsid w:val="00AF4DC0"/>
    <w:rsid w:val="00B25BFC"/>
    <w:rsid w:val="00B531FE"/>
    <w:rsid w:val="00B61751"/>
    <w:rsid w:val="00B8405E"/>
    <w:rsid w:val="00BA1D10"/>
    <w:rsid w:val="00C53799"/>
    <w:rsid w:val="00C608BA"/>
    <w:rsid w:val="00CC104E"/>
    <w:rsid w:val="00D822AD"/>
    <w:rsid w:val="00DA2CEC"/>
    <w:rsid w:val="00DC1CCB"/>
    <w:rsid w:val="00E328CA"/>
    <w:rsid w:val="00E6094C"/>
    <w:rsid w:val="00E75DB1"/>
    <w:rsid w:val="00E82B69"/>
    <w:rsid w:val="00E92C2D"/>
    <w:rsid w:val="00F13272"/>
    <w:rsid w:val="00F431AE"/>
    <w:rsid w:val="00F730C0"/>
    <w:rsid w:val="00F863FF"/>
    <w:rsid w:val="00FD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E87029"/>
  <w15:chartTrackingRefBased/>
  <w15:docId w15:val="{F07D5832-1C7B-1646-BF16-372E4F66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431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431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31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431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31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431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431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431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431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31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431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431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431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31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431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431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431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431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431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31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431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31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431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431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431A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431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31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31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431AE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Standard"/>
    <w:rsid w:val="00F4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1">
    <w:name w:val="s1"/>
    <w:basedOn w:val="Absatz-Standardschriftart"/>
    <w:rsid w:val="00F431AE"/>
  </w:style>
  <w:style w:type="paragraph" w:customStyle="1" w:styleId="p2">
    <w:name w:val="p2"/>
    <w:basedOn w:val="Standard"/>
    <w:rsid w:val="00F4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3">
    <w:name w:val="p3"/>
    <w:basedOn w:val="Standard"/>
    <w:rsid w:val="00F4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BA1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1D10"/>
  </w:style>
  <w:style w:type="character" w:styleId="Seitenzahl">
    <w:name w:val="page number"/>
    <w:basedOn w:val="Absatz-Standardschriftart"/>
    <w:uiPriority w:val="99"/>
    <w:semiHidden/>
    <w:unhideWhenUsed/>
    <w:rsid w:val="00BA1D10"/>
  </w:style>
  <w:style w:type="paragraph" w:styleId="StandardWeb">
    <w:name w:val="Normal (Web)"/>
    <w:basedOn w:val="Standard"/>
    <w:uiPriority w:val="99"/>
    <w:semiHidden/>
    <w:unhideWhenUsed/>
    <w:rsid w:val="00E8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753</Words>
  <Characters>4733</Characters>
  <Application>Microsoft Office Word</Application>
  <DocSecurity>0</DocSecurity>
  <Lines>249</Lines>
  <Paragraphs>137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Müller</dc:creator>
  <cp:keywords/>
  <dc:description/>
  <cp:lastModifiedBy>Birgit Müller</cp:lastModifiedBy>
  <cp:revision>2</cp:revision>
  <cp:lastPrinted>2026-05-17T15:28:00Z</cp:lastPrinted>
  <dcterms:created xsi:type="dcterms:W3CDTF">2026-05-18T12:30:00Z</dcterms:created>
  <dcterms:modified xsi:type="dcterms:W3CDTF">2026-05-18T12:30:00Z</dcterms:modified>
</cp:coreProperties>
</file>